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32" w:rsidRDefault="00917A32" w:rsidP="00917A32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Tájékoztató a</w:t>
      </w:r>
      <w:r w:rsidRPr="00917A32">
        <w:rPr>
          <w:rFonts w:ascii="Arial" w:eastAsia="Calibri" w:hAnsi="Arial" w:cs="Arial"/>
          <w:b/>
          <w:sz w:val="28"/>
          <w:szCs w:val="28"/>
        </w:rPr>
        <w:t xml:space="preserve"> helyi adókról szó</w:t>
      </w:r>
      <w:bookmarkStart w:id="0" w:name="_GoBack"/>
      <w:bookmarkEnd w:id="0"/>
      <w:r w:rsidRPr="00917A32">
        <w:rPr>
          <w:rFonts w:ascii="Arial" w:eastAsia="Calibri" w:hAnsi="Arial" w:cs="Arial"/>
          <w:b/>
          <w:sz w:val="28"/>
          <w:szCs w:val="28"/>
        </w:rPr>
        <w:t>ló 1990. évi C. törvény 2017</w:t>
      </w:r>
      <w:r>
        <w:rPr>
          <w:rFonts w:ascii="Arial" w:eastAsia="Calibri" w:hAnsi="Arial" w:cs="Arial"/>
          <w:b/>
          <w:sz w:val="28"/>
          <w:szCs w:val="28"/>
        </w:rPr>
        <w:t>. január 1-én</w:t>
      </w:r>
      <w:r w:rsidRPr="00917A32">
        <w:rPr>
          <w:rFonts w:ascii="Arial" w:eastAsia="Calibri" w:hAnsi="Arial" w:cs="Arial"/>
          <w:b/>
          <w:sz w:val="28"/>
          <w:szCs w:val="28"/>
        </w:rPr>
        <w:t xml:space="preserve"> hatályba</w:t>
      </w:r>
      <w:r w:rsidRPr="00917A32"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>lépő</w:t>
      </w:r>
      <w:r w:rsidRPr="00917A32">
        <w:rPr>
          <w:rFonts w:ascii="Arial" w:eastAsia="Calibri" w:hAnsi="Arial" w:cs="Arial"/>
          <w:b/>
          <w:sz w:val="28"/>
          <w:szCs w:val="28"/>
        </w:rPr>
        <w:t xml:space="preserve"> módosításai</w:t>
      </w:r>
      <w:r>
        <w:rPr>
          <w:rFonts w:ascii="Arial" w:eastAsia="Calibri" w:hAnsi="Arial" w:cs="Arial"/>
          <w:b/>
          <w:sz w:val="28"/>
          <w:szCs w:val="28"/>
        </w:rPr>
        <w:t>ról</w:t>
      </w:r>
    </w:p>
    <w:p w:rsidR="00917A32" w:rsidRDefault="00917A32" w:rsidP="00917A32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917A32" w:rsidRPr="00917A32" w:rsidRDefault="00917A32" w:rsidP="00917A32">
      <w:pPr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917A32">
        <w:rPr>
          <w:rFonts w:ascii="Arial" w:eastAsia="Calibri" w:hAnsi="Arial" w:cs="Arial"/>
          <w:b/>
          <w:sz w:val="24"/>
          <w:szCs w:val="24"/>
          <w:lang w:val="en-US"/>
        </w:rPr>
        <w:t>Feltételes</w:t>
      </w:r>
      <w:proofErr w:type="spellEnd"/>
      <w:r w:rsidRPr="00917A3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17A32">
        <w:rPr>
          <w:rFonts w:ascii="Arial" w:eastAsia="Calibri" w:hAnsi="Arial" w:cs="Arial"/>
          <w:b/>
          <w:sz w:val="24"/>
          <w:szCs w:val="24"/>
          <w:lang w:val="en-US"/>
        </w:rPr>
        <w:t>mentesség</w:t>
      </w:r>
      <w:proofErr w:type="spellEnd"/>
    </w:p>
    <w:p w:rsidR="00917A32" w:rsidRPr="00917A32" w:rsidRDefault="00917A32" w:rsidP="00917A32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917A3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Htv</w:t>
      </w:r>
      <w:proofErr w:type="spellEnd"/>
      <w:r w:rsidRPr="00917A3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 3. (2) Adómentes valamennyi helyi adó alól - a (3) bekezdésben foglaltakra figyelemmel - az egyesület, az alapítvány, a közszolgáltató szervezet, a köztestület, az önkéntes kölcsönös biztosító pénztár, a magánnyugdíjpénztár és - kizárólag a helyi iparűzési adó vonatkozásában - a közhasznú szervezetnek minősülő nonprofit gazdasági társaság.</w:t>
      </w:r>
    </w:p>
    <w:p w:rsidR="00917A32" w:rsidRPr="00917A32" w:rsidRDefault="00917A32" w:rsidP="00917A32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17A3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(3) A (2) bekezdés szerinti mentesség abban az adóévben illeti meg az adóalanyt, amelyet megelőző adóévben folytatott vállalkozási tevékenységéből származó jövedelme (nyeresége) után sem bel-, sem külföldön adófizetési kötelezettsége nem keletkezett. Az építmény- és telekadóban a (2) bekezdés szerinti mentesség azon épület, épületrész, telek után jár, amelyet az ingatlan-nyilvántartásban tulajdonosként bejegyzett adóalany kizárólag a létesítő okiratában meghatározott alaptevékenysége, főtevékenysége kifejtésére használ. A feltételek meglétéről az adóalany - az adóév ötödik hónapjának utolsó napjáig - írásban köteles nyilatkozni az adóhatóságnak. A nyilatkozat adóbevallásnak minősül.</w:t>
      </w:r>
    </w:p>
    <w:p w:rsidR="00917A32" w:rsidRPr="00917A32" w:rsidRDefault="00917A32" w:rsidP="00917A32">
      <w:pPr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917A32" w:rsidRPr="00917A32" w:rsidRDefault="00917A32" w:rsidP="00917A32">
      <w:pPr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917A32">
        <w:rPr>
          <w:rFonts w:ascii="Arial" w:eastAsia="Calibri" w:hAnsi="Arial" w:cs="Arial"/>
          <w:b/>
          <w:sz w:val="24"/>
          <w:szCs w:val="24"/>
          <w:lang w:val="en-US"/>
        </w:rPr>
        <w:t>Hatályát</w:t>
      </w:r>
      <w:proofErr w:type="spellEnd"/>
      <w:r w:rsidRPr="00917A3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17A32">
        <w:rPr>
          <w:rFonts w:ascii="Arial" w:eastAsia="Calibri" w:hAnsi="Arial" w:cs="Arial"/>
          <w:b/>
          <w:sz w:val="24"/>
          <w:szCs w:val="24"/>
          <w:lang w:val="en-US"/>
        </w:rPr>
        <w:t>veszti</w:t>
      </w:r>
      <w:proofErr w:type="spellEnd"/>
      <w:r w:rsidRPr="00917A32">
        <w:rPr>
          <w:rFonts w:ascii="Arial" w:eastAsia="Calibri" w:hAnsi="Arial" w:cs="Arial"/>
          <w:b/>
          <w:sz w:val="24"/>
          <w:szCs w:val="24"/>
          <w:lang w:val="en-US"/>
        </w:rPr>
        <w:t xml:space="preserve"> a </w:t>
      </w:r>
      <w:proofErr w:type="spellStart"/>
      <w:r w:rsidRPr="00917A32">
        <w:rPr>
          <w:rFonts w:ascii="Arial" w:eastAsia="Calibri" w:hAnsi="Arial" w:cs="Arial"/>
          <w:b/>
          <w:sz w:val="24"/>
          <w:szCs w:val="24"/>
          <w:lang w:val="en-US"/>
        </w:rPr>
        <w:t>Htv</w:t>
      </w:r>
      <w:proofErr w:type="spellEnd"/>
      <w:r w:rsidRPr="00917A32">
        <w:rPr>
          <w:rFonts w:ascii="Arial" w:eastAsia="Calibri" w:hAnsi="Arial" w:cs="Arial"/>
          <w:b/>
          <w:sz w:val="24"/>
          <w:szCs w:val="24"/>
          <w:lang w:val="en-US"/>
        </w:rPr>
        <w:t xml:space="preserve">. 4. </w:t>
      </w:r>
      <w:proofErr w:type="spellStart"/>
      <w:r w:rsidRPr="00917A32">
        <w:rPr>
          <w:rFonts w:ascii="Arial" w:eastAsia="Calibri" w:hAnsi="Arial" w:cs="Arial"/>
          <w:b/>
          <w:sz w:val="24"/>
          <w:szCs w:val="24"/>
          <w:lang w:val="en-US"/>
        </w:rPr>
        <w:t>és</w:t>
      </w:r>
      <w:proofErr w:type="spellEnd"/>
      <w:r w:rsidRPr="00917A32">
        <w:rPr>
          <w:rFonts w:ascii="Arial" w:eastAsia="Calibri" w:hAnsi="Arial" w:cs="Arial"/>
          <w:b/>
          <w:sz w:val="24"/>
          <w:szCs w:val="24"/>
          <w:lang w:val="en-US"/>
        </w:rPr>
        <w:t xml:space="preserve"> 5. §</w:t>
      </w:r>
    </w:p>
    <w:p w:rsidR="00917A32" w:rsidRPr="00917A32" w:rsidRDefault="00917A32" w:rsidP="00917A32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strike/>
          <w:color w:val="222222"/>
          <w:sz w:val="24"/>
          <w:szCs w:val="24"/>
          <w:lang w:eastAsia="hu-HU"/>
        </w:rPr>
      </w:pPr>
      <w:r w:rsidRPr="00917A32">
        <w:rPr>
          <w:rFonts w:ascii="Arial" w:eastAsia="Times New Roman" w:hAnsi="Arial" w:cs="Arial"/>
          <w:b/>
          <w:bCs/>
          <w:strike/>
          <w:color w:val="222222"/>
          <w:sz w:val="24"/>
          <w:szCs w:val="24"/>
          <w:lang w:eastAsia="hu-HU"/>
        </w:rPr>
        <w:t>4. § </w:t>
      </w:r>
      <w:r w:rsidRPr="00917A32">
        <w:rPr>
          <w:rFonts w:ascii="Arial" w:eastAsia="Times New Roman" w:hAnsi="Arial" w:cs="Arial"/>
          <w:strike/>
          <w:color w:val="222222"/>
          <w:sz w:val="24"/>
          <w:szCs w:val="24"/>
          <w:lang w:eastAsia="hu-HU"/>
        </w:rPr>
        <w:t>Az adókötelezettség az önkormányzat illetékességi területén a következőkre terjed ki:</w:t>
      </w:r>
    </w:p>
    <w:p w:rsidR="00917A32" w:rsidRPr="00917A32" w:rsidRDefault="00917A32" w:rsidP="00917A32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strike/>
          <w:color w:val="222222"/>
          <w:sz w:val="24"/>
          <w:szCs w:val="24"/>
          <w:lang w:eastAsia="hu-HU"/>
        </w:rPr>
      </w:pPr>
      <w:proofErr w:type="gramStart"/>
      <w:r w:rsidRPr="00917A32">
        <w:rPr>
          <w:rFonts w:ascii="Arial" w:eastAsia="Times New Roman" w:hAnsi="Arial" w:cs="Arial"/>
          <w:i/>
          <w:iCs/>
          <w:strike/>
          <w:color w:val="222222"/>
          <w:sz w:val="24"/>
          <w:szCs w:val="24"/>
          <w:lang w:eastAsia="hu-HU"/>
        </w:rPr>
        <w:t>a</w:t>
      </w:r>
      <w:proofErr w:type="gramEnd"/>
      <w:r w:rsidRPr="00917A32">
        <w:rPr>
          <w:rFonts w:ascii="Arial" w:eastAsia="Times New Roman" w:hAnsi="Arial" w:cs="Arial"/>
          <w:i/>
          <w:iCs/>
          <w:strike/>
          <w:color w:val="222222"/>
          <w:sz w:val="24"/>
          <w:szCs w:val="24"/>
          <w:lang w:eastAsia="hu-HU"/>
        </w:rPr>
        <w:t>) </w:t>
      </w:r>
      <w:r w:rsidRPr="00917A32">
        <w:rPr>
          <w:rFonts w:ascii="Arial" w:eastAsia="Times New Roman" w:hAnsi="Arial" w:cs="Arial"/>
          <w:strike/>
          <w:color w:val="222222"/>
          <w:sz w:val="24"/>
          <w:szCs w:val="24"/>
          <w:lang w:eastAsia="hu-HU"/>
        </w:rPr>
        <w:t>az ingatlantulajdonra, ingatlanhoz kapcsolódó vagyoni értékű jogra,</w:t>
      </w:r>
    </w:p>
    <w:p w:rsidR="00917A32" w:rsidRPr="00917A32" w:rsidRDefault="00917A32" w:rsidP="00917A32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strike/>
          <w:color w:val="222222"/>
          <w:sz w:val="24"/>
          <w:szCs w:val="24"/>
          <w:lang w:eastAsia="hu-HU"/>
        </w:rPr>
      </w:pPr>
      <w:r w:rsidRPr="00917A32">
        <w:rPr>
          <w:rFonts w:ascii="Arial" w:eastAsia="Times New Roman" w:hAnsi="Arial" w:cs="Arial"/>
          <w:i/>
          <w:iCs/>
          <w:strike/>
          <w:color w:val="222222"/>
          <w:sz w:val="24"/>
          <w:szCs w:val="24"/>
          <w:lang w:eastAsia="hu-HU"/>
        </w:rPr>
        <w:t>b)</w:t>
      </w:r>
      <w:hyperlink r:id="rId4" w:anchor="lbj13id7979" w:history="1">
        <w:r w:rsidRPr="00917A32">
          <w:rPr>
            <w:rFonts w:ascii="Arial" w:eastAsia="Times New Roman" w:hAnsi="Arial" w:cs="Arial"/>
            <w:i/>
            <w:iCs/>
            <w:strike/>
            <w:color w:val="0072BC"/>
            <w:sz w:val="24"/>
            <w:szCs w:val="24"/>
            <w:u w:val="single"/>
            <w:vertAlign w:val="superscript"/>
            <w:lang w:eastAsia="hu-HU"/>
          </w:rPr>
          <w:t>14</w:t>
        </w:r>
      </w:hyperlink>
    </w:p>
    <w:p w:rsidR="00917A32" w:rsidRPr="00917A32" w:rsidRDefault="00917A32" w:rsidP="00917A32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strike/>
          <w:color w:val="222222"/>
          <w:sz w:val="24"/>
          <w:szCs w:val="24"/>
          <w:lang w:eastAsia="hu-HU"/>
        </w:rPr>
      </w:pPr>
      <w:r w:rsidRPr="00917A32">
        <w:rPr>
          <w:rFonts w:ascii="Arial" w:eastAsia="Times New Roman" w:hAnsi="Arial" w:cs="Arial"/>
          <w:i/>
          <w:iCs/>
          <w:strike/>
          <w:color w:val="222222"/>
          <w:sz w:val="24"/>
          <w:szCs w:val="24"/>
          <w:lang w:eastAsia="hu-HU"/>
        </w:rPr>
        <w:t>c) </w:t>
      </w:r>
      <w:r w:rsidRPr="00917A32">
        <w:rPr>
          <w:rFonts w:ascii="Arial" w:eastAsia="Times New Roman" w:hAnsi="Arial" w:cs="Arial"/>
          <w:strike/>
          <w:color w:val="222222"/>
          <w:sz w:val="24"/>
          <w:szCs w:val="24"/>
          <w:lang w:eastAsia="hu-HU"/>
        </w:rPr>
        <w:t>nem állandó lakosként való tartózkodásra és</w:t>
      </w:r>
    </w:p>
    <w:p w:rsidR="00917A32" w:rsidRPr="00917A32" w:rsidRDefault="00917A32" w:rsidP="00917A32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strike/>
          <w:color w:val="222222"/>
          <w:sz w:val="24"/>
          <w:szCs w:val="24"/>
          <w:lang w:eastAsia="hu-HU"/>
        </w:rPr>
      </w:pPr>
      <w:r w:rsidRPr="00917A32">
        <w:rPr>
          <w:rFonts w:ascii="Arial" w:eastAsia="Times New Roman" w:hAnsi="Arial" w:cs="Arial"/>
          <w:i/>
          <w:iCs/>
          <w:strike/>
          <w:color w:val="222222"/>
          <w:sz w:val="24"/>
          <w:szCs w:val="24"/>
          <w:lang w:eastAsia="hu-HU"/>
        </w:rPr>
        <w:t>d) </w:t>
      </w:r>
      <w:r w:rsidRPr="00917A32">
        <w:rPr>
          <w:rFonts w:ascii="Arial" w:eastAsia="Times New Roman" w:hAnsi="Arial" w:cs="Arial"/>
          <w:strike/>
          <w:color w:val="222222"/>
          <w:sz w:val="24"/>
          <w:szCs w:val="24"/>
          <w:lang w:eastAsia="hu-HU"/>
        </w:rPr>
        <w:t>az e törvényben meghatározott gazdasági tevékenység gyakorlására (a továbbiakban együtt: adótárgy).</w:t>
      </w:r>
    </w:p>
    <w:p w:rsidR="00917A32" w:rsidRPr="00917A32" w:rsidRDefault="00917A32" w:rsidP="00917A32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strike/>
          <w:color w:val="222222"/>
          <w:sz w:val="24"/>
          <w:szCs w:val="24"/>
          <w:lang w:eastAsia="hu-HU"/>
        </w:rPr>
      </w:pPr>
      <w:r w:rsidRPr="00917A32">
        <w:rPr>
          <w:rFonts w:ascii="Arial" w:eastAsia="Times New Roman" w:hAnsi="Arial" w:cs="Arial"/>
          <w:b/>
          <w:bCs/>
          <w:strike/>
          <w:color w:val="222222"/>
          <w:sz w:val="24"/>
          <w:szCs w:val="24"/>
          <w:lang w:eastAsia="hu-HU"/>
        </w:rPr>
        <w:t>5. § </w:t>
      </w:r>
      <w:r w:rsidRPr="00917A32">
        <w:rPr>
          <w:rFonts w:ascii="Arial" w:eastAsia="Times New Roman" w:hAnsi="Arial" w:cs="Arial"/>
          <w:strike/>
          <w:color w:val="222222"/>
          <w:sz w:val="24"/>
          <w:szCs w:val="24"/>
          <w:lang w:eastAsia="hu-HU"/>
        </w:rPr>
        <w:t>Az önkormányzat rendeletével:</w:t>
      </w:r>
    </w:p>
    <w:p w:rsidR="00917A32" w:rsidRPr="00917A32" w:rsidRDefault="00917A32" w:rsidP="00917A32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strike/>
          <w:color w:val="222222"/>
          <w:sz w:val="24"/>
          <w:szCs w:val="24"/>
          <w:lang w:eastAsia="hu-HU"/>
        </w:rPr>
      </w:pPr>
      <w:proofErr w:type="gramStart"/>
      <w:r w:rsidRPr="00917A32">
        <w:rPr>
          <w:rFonts w:ascii="Arial" w:eastAsia="Times New Roman" w:hAnsi="Arial" w:cs="Arial"/>
          <w:i/>
          <w:iCs/>
          <w:strike/>
          <w:color w:val="222222"/>
          <w:sz w:val="24"/>
          <w:szCs w:val="24"/>
          <w:lang w:eastAsia="hu-HU"/>
        </w:rPr>
        <w:t>a</w:t>
      </w:r>
      <w:proofErr w:type="gramEnd"/>
      <w:r w:rsidRPr="00917A32">
        <w:rPr>
          <w:rFonts w:ascii="Arial" w:eastAsia="Times New Roman" w:hAnsi="Arial" w:cs="Arial"/>
          <w:i/>
          <w:iCs/>
          <w:strike/>
          <w:color w:val="222222"/>
          <w:sz w:val="24"/>
          <w:szCs w:val="24"/>
          <w:lang w:eastAsia="hu-HU"/>
        </w:rPr>
        <w:t>) </w:t>
      </w:r>
      <w:r w:rsidRPr="00917A32">
        <w:rPr>
          <w:rFonts w:ascii="Arial" w:eastAsia="Times New Roman" w:hAnsi="Arial" w:cs="Arial"/>
          <w:strike/>
          <w:color w:val="222222"/>
          <w:sz w:val="24"/>
          <w:szCs w:val="24"/>
          <w:lang w:eastAsia="hu-HU"/>
        </w:rPr>
        <w:t>vagyoni típusú adók,</w:t>
      </w:r>
    </w:p>
    <w:p w:rsidR="00917A32" w:rsidRPr="00917A32" w:rsidRDefault="00917A32" w:rsidP="00917A32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strike/>
          <w:color w:val="222222"/>
          <w:sz w:val="24"/>
          <w:szCs w:val="24"/>
          <w:lang w:eastAsia="hu-HU"/>
        </w:rPr>
      </w:pPr>
      <w:r w:rsidRPr="00917A32">
        <w:rPr>
          <w:rFonts w:ascii="Arial" w:eastAsia="Times New Roman" w:hAnsi="Arial" w:cs="Arial"/>
          <w:i/>
          <w:iCs/>
          <w:strike/>
          <w:color w:val="222222"/>
          <w:sz w:val="24"/>
          <w:szCs w:val="24"/>
          <w:lang w:eastAsia="hu-HU"/>
        </w:rPr>
        <w:t>b) </w:t>
      </w:r>
      <w:proofErr w:type="gramStart"/>
      <w:r w:rsidRPr="00917A32">
        <w:rPr>
          <w:rFonts w:ascii="Arial" w:eastAsia="Times New Roman" w:hAnsi="Arial" w:cs="Arial"/>
          <w:strike/>
          <w:color w:val="222222"/>
          <w:sz w:val="24"/>
          <w:szCs w:val="24"/>
          <w:lang w:eastAsia="hu-HU"/>
        </w:rPr>
        <w:t>kommunális</w:t>
      </w:r>
      <w:proofErr w:type="gramEnd"/>
      <w:r w:rsidRPr="00917A32">
        <w:rPr>
          <w:rFonts w:ascii="Arial" w:eastAsia="Times New Roman" w:hAnsi="Arial" w:cs="Arial"/>
          <w:strike/>
          <w:color w:val="222222"/>
          <w:sz w:val="24"/>
          <w:szCs w:val="24"/>
          <w:lang w:eastAsia="hu-HU"/>
        </w:rPr>
        <w:t xml:space="preserve"> jellegű adók, továbbá</w:t>
      </w:r>
    </w:p>
    <w:p w:rsidR="00917A32" w:rsidRPr="00917A32" w:rsidRDefault="00917A32" w:rsidP="00917A32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strike/>
          <w:color w:val="222222"/>
          <w:sz w:val="24"/>
          <w:szCs w:val="24"/>
          <w:lang w:eastAsia="hu-HU"/>
        </w:rPr>
      </w:pPr>
      <w:r w:rsidRPr="00917A32">
        <w:rPr>
          <w:rFonts w:ascii="Arial" w:eastAsia="Times New Roman" w:hAnsi="Arial" w:cs="Arial"/>
          <w:i/>
          <w:iCs/>
          <w:strike/>
          <w:color w:val="222222"/>
          <w:sz w:val="24"/>
          <w:szCs w:val="24"/>
          <w:lang w:eastAsia="hu-HU"/>
        </w:rPr>
        <w:t>c) </w:t>
      </w:r>
      <w:r w:rsidRPr="00917A32">
        <w:rPr>
          <w:rFonts w:ascii="Arial" w:eastAsia="Times New Roman" w:hAnsi="Arial" w:cs="Arial"/>
          <w:strike/>
          <w:color w:val="222222"/>
          <w:sz w:val="24"/>
          <w:szCs w:val="24"/>
          <w:lang w:eastAsia="hu-HU"/>
        </w:rPr>
        <w:t>helyi iparűzési adó</w:t>
      </w:r>
    </w:p>
    <w:p w:rsidR="00917A32" w:rsidRPr="00917A32" w:rsidRDefault="00917A32" w:rsidP="00917A32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strike/>
          <w:color w:val="222222"/>
          <w:sz w:val="24"/>
          <w:szCs w:val="24"/>
          <w:lang w:eastAsia="hu-HU"/>
        </w:rPr>
      </w:pPr>
      <w:proofErr w:type="gramStart"/>
      <w:r w:rsidRPr="00917A32">
        <w:rPr>
          <w:rFonts w:ascii="Arial" w:eastAsia="Times New Roman" w:hAnsi="Arial" w:cs="Arial"/>
          <w:strike/>
          <w:color w:val="222222"/>
          <w:sz w:val="24"/>
          <w:szCs w:val="24"/>
          <w:lang w:eastAsia="hu-HU"/>
        </w:rPr>
        <w:t>bevezetésére</w:t>
      </w:r>
      <w:proofErr w:type="gramEnd"/>
      <w:r w:rsidRPr="00917A32">
        <w:rPr>
          <w:rFonts w:ascii="Arial" w:eastAsia="Times New Roman" w:hAnsi="Arial" w:cs="Arial"/>
          <w:strike/>
          <w:color w:val="222222"/>
          <w:sz w:val="24"/>
          <w:szCs w:val="24"/>
          <w:lang w:eastAsia="hu-HU"/>
        </w:rPr>
        <w:t xml:space="preserve"> jogosult.</w:t>
      </w:r>
    </w:p>
    <w:p w:rsidR="00917A32" w:rsidRPr="00917A32" w:rsidRDefault="00917A32" w:rsidP="00917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917A32" w:rsidRPr="00917A32" w:rsidRDefault="00917A32" w:rsidP="00917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r w:rsidRPr="00917A32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Adómegállapítási jog korlátozása</w:t>
      </w:r>
    </w:p>
    <w:p w:rsidR="00917A32" w:rsidRPr="00917A32" w:rsidRDefault="00917A32" w:rsidP="00917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trike/>
          <w:color w:val="222222"/>
          <w:sz w:val="24"/>
          <w:szCs w:val="24"/>
          <w:lang w:eastAsia="hu-HU"/>
        </w:rPr>
      </w:pPr>
    </w:p>
    <w:p w:rsidR="00917A32" w:rsidRPr="00917A32" w:rsidRDefault="00917A32" w:rsidP="00917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trike/>
          <w:color w:val="222222"/>
          <w:sz w:val="24"/>
          <w:szCs w:val="24"/>
          <w:lang w:eastAsia="hu-HU"/>
        </w:rPr>
      </w:pPr>
      <w:proofErr w:type="spellStart"/>
      <w:r w:rsidRPr="00917A32">
        <w:rPr>
          <w:rFonts w:ascii="Arial" w:eastAsia="Calibri" w:hAnsi="Arial" w:cs="Arial"/>
          <w:i/>
          <w:iCs/>
          <w:color w:val="222222"/>
          <w:sz w:val="24"/>
          <w:szCs w:val="24"/>
          <w:shd w:val="clear" w:color="auto" w:fill="FFFFFF"/>
        </w:rPr>
        <w:t>Htv</w:t>
      </w:r>
      <w:proofErr w:type="spellEnd"/>
      <w:r w:rsidRPr="00917A32">
        <w:rPr>
          <w:rFonts w:ascii="Arial" w:eastAsia="Calibri" w:hAnsi="Arial" w:cs="Arial"/>
          <w:i/>
          <w:iCs/>
          <w:color w:val="222222"/>
          <w:sz w:val="24"/>
          <w:szCs w:val="24"/>
          <w:shd w:val="clear" w:color="auto" w:fill="FFFFFF"/>
        </w:rPr>
        <w:t>. 6. § c)</w:t>
      </w:r>
      <w:hyperlink r:id="rId5" w:anchor="lbj15id7979" w:tooltip="Megállapította: 2004. évi CI. törvény 147. §. Módosította: 2010. évi XC. törvény 24. §." w:history="1"/>
      <w:r w:rsidRPr="00917A32">
        <w:rPr>
          <w:rFonts w:ascii="Arial" w:eastAsia="Calibri" w:hAnsi="Arial" w:cs="Arial"/>
          <w:sz w:val="24"/>
          <w:szCs w:val="24"/>
        </w:rPr>
        <w:t xml:space="preserve"> </w:t>
      </w:r>
      <w:r w:rsidRPr="00917A32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az adó mértékét </w:t>
      </w:r>
      <w:r w:rsidRPr="00917A32">
        <w:rPr>
          <w:rFonts w:ascii="Arial" w:eastAsia="Calibri" w:hAnsi="Arial" w:cs="Arial"/>
          <w:strike/>
          <w:color w:val="222222"/>
          <w:sz w:val="24"/>
          <w:szCs w:val="24"/>
          <w:shd w:val="clear" w:color="auto" w:fill="FFFFFF"/>
        </w:rPr>
        <w:t>a helyi sajátosságokhoz, az önkormányzat gazdálkodási követelményeihez és az adóalanyok teherviselő képességéhez igazodóan -</w:t>
      </w:r>
      <w:r w:rsidRPr="00917A32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 az e törvényben meghatározott felső határokra, illetőleg a 16. § </w:t>
      </w:r>
      <w:r w:rsidRPr="00917A32">
        <w:rPr>
          <w:rFonts w:ascii="Arial" w:eastAsia="Calibri" w:hAnsi="Arial" w:cs="Arial"/>
          <w:i/>
          <w:iCs/>
          <w:color w:val="222222"/>
          <w:sz w:val="24"/>
          <w:szCs w:val="24"/>
          <w:shd w:val="clear" w:color="auto" w:fill="FFFFFF"/>
        </w:rPr>
        <w:t>a) </w:t>
      </w:r>
      <w:r w:rsidRPr="00917A32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pontjában, a 22. § </w:t>
      </w:r>
      <w:r w:rsidRPr="00917A32">
        <w:rPr>
          <w:rFonts w:ascii="Arial" w:eastAsia="Calibri" w:hAnsi="Arial" w:cs="Arial"/>
          <w:i/>
          <w:iCs/>
          <w:color w:val="222222"/>
          <w:sz w:val="24"/>
          <w:szCs w:val="24"/>
          <w:shd w:val="clear" w:color="auto" w:fill="FFFFFF"/>
        </w:rPr>
        <w:t>a) </w:t>
      </w:r>
      <w:r w:rsidRPr="00917A32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pontjában, a 26. §-</w:t>
      </w:r>
      <w:proofErr w:type="spellStart"/>
      <w:r w:rsidRPr="00917A32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ában</w:t>
      </w:r>
      <w:proofErr w:type="spellEnd"/>
      <w:r w:rsidRPr="00917A32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, a 33. §-</w:t>
      </w:r>
      <w:proofErr w:type="spellStart"/>
      <w:r w:rsidRPr="00917A32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ának</w:t>
      </w:r>
      <w:proofErr w:type="spellEnd"/>
      <w:r w:rsidRPr="00917A32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 </w:t>
      </w:r>
      <w:r w:rsidRPr="00917A32">
        <w:rPr>
          <w:rFonts w:ascii="Arial" w:eastAsia="Calibri" w:hAnsi="Arial" w:cs="Arial"/>
          <w:i/>
          <w:iCs/>
          <w:color w:val="222222"/>
          <w:sz w:val="24"/>
          <w:szCs w:val="24"/>
          <w:shd w:val="clear" w:color="auto" w:fill="FFFFFF"/>
        </w:rPr>
        <w:t>a) </w:t>
      </w:r>
      <w:r w:rsidRPr="00917A32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pontjában meghatározott felső határoknak 2005. évre a KSH által 2003. évre vonatkozóan közzétett fogyasztói árszínvonal-változással, 2006. évtől pedig a 2003. évre és az adóévet megelőző második évig eltelt évek fogyasztói árszínvonal változásai szorzatával növelt összegére (a felső határ és a felső határ növelt összege együtt: adómaximum) figyelemmel - megállapítsa,</w:t>
      </w:r>
    </w:p>
    <w:p w:rsidR="00917A32" w:rsidRPr="00917A32" w:rsidRDefault="00917A32" w:rsidP="00917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</w:p>
    <w:p w:rsidR="00917A32" w:rsidRPr="00917A32" w:rsidRDefault="00917A32" w:rsidP="00917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917A32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Htv</w:t>
      </w:r>
      <w:proofErr w:type="spellEnd"/>
      <w:r w:rsidRPr="00917A32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. 7. § </w:t>
      </w:r>
      <w:r w:rsidRPr="00917A3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 önkormányzat adómegállapítási jogát korlátozza az, hogy: (új pont)</w:t>
      </w:r>
    </w:p>
    <w:p w:rsidR="00917A32" w:rsidRPr="00917A32" w:rsidRDefault="00917A32" w:rsidP="00917A32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917A32" w:rsidRPr="00917A32" w:rsidRDefault="00917A32" w:rsidP="00917A32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 w:rsidRPr="00917A32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g</w:t>
      </w:r>
      <w:proofErr w:type="gramEnd"/>
      <w:r w:rsidRPr="00917A32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) </w:t>
      </w:r>
      <w:r w:rsidRPr="00917A3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 adóalap fajtáját, az adó mértékét, a rendeleti adómentességet és adókedvezményt úgy állapíthatja meg, hogy azok összességükben egyaránt megfeleljenek a helyi sajátosságoknak, az önkormányzat gazdálkodási követelményeinek és az adóalanyok széles körét érintően az adóalanyok teherviselő képességének.</w:t>
      </w:r>
    </w:p>
    <w:p w:rsidR="00917A32" w:rsidRPr="00917A32" w:rsidRDefault="00917A32" w:rsidP="00917A32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917A32" w:rsidRPr="00917A32" w:rsidRDefault="00917A32" w:rsidP="00917A32">
      <w:pPr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917A32">
        <w:rPr>
          <w:rFonts w:ascii="Arial" w:eastAsia="Calibri" w:hAnsi="Arial" w:cs="Arial"/>
          <w:b/>
          <w:sz w:val="24"/>
          <w:szCs w:val="24"/>
          <w:lang w:val="en-US"/>
        </w:rPr>
        <w:t>Építményadó</w:t>
      </w:r>
      <w:proofErr w:type="spellEnd"/>
      <w:r w:rsidRPr="00917A3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17A32">
        <w:rPr>
          <w:rFonts w:ascii="Arial" w:eastAsia="Calibri" w:hAnsi="Arial" w:cs="Arial"/>
          <w:b/>
          <w:sz w:val="24"/>
          <w:szCs w:val="24"/>
          <w:lang w:val="en-US"/>
        </w:rPr>
        <w:t>mentesség</w:t>
      </w:r>
      <w:proofErr w:type="spellEnd"/>
      <w:r w:rsidRPr="00917A32">
        <w:rPr>
          <w:rFonts w:ascii="Arial" w:eastAsia="Calibri" w:hAnsi="Arial" w:cs="Arial"/>
          <w:b/>
          <w:sz w:val="24"/>
          <w:szCs w:val="24"/>
          <w:lang w:val="en-US"/>
        </w:rPr>
        <w:t xml:space="preserve">      </w:t>
      </w:r>
    </w:p>
    <w:p w:rsidR="00917A32" w:rsidRPr="00917A32" w:rsidRDefault="00917A32" w:rsidP="00917A32">
      <w:pPr>
        <w:rPr>
          <w:rFonts w:ascii="Arial" w:eastAsia="Calibri" w:hAnsi="Arial" w:cs="Arial"/>
          <w:sz w:val="24"/>
          <w:szCs w:val="24"/>
          <w:lang w:val="en-US"/>
        </w:rPr>
      </w:pPr>
      <w:proofErr w:type="gramStart"/>
      <w:r w:rsidRPr="00917A32">
        <w:rPr>
          <w:rFonts w:ascii="Arial" w:eastAsia="Calibri" w:hAnsi="Arial" w:cs="Arial"/>
          <w:sz w:val="24"/>
          <w:szCs w:val="24"/>
          <w:lang w:val="en-US"/>
        </w:rPr>
        <w:t xml:space="preserve">a  </w:t>
      </w:r>
      <w:proofErr w:type="spellStart"/>
      <w:r w:rsidRPr="00917A32">
        <w:rPr>
          <w:rFonts w:ascii="Arial" w:eastAsia="Calibri" w:hAnsi="Arial" w:cs="Arial"/>
          <w:sz w:val="24"/>
          <w:szCs w:val="24"/>
          <w:lang w:val="en-US"/>
        </w:rPr>
        <w:t>Htv</w:t>
      </w:r>
      <w:proofErr w:type="spellEnd"/>
      <w:proofErr w:type="gramEnd"/>
      <w:r w:rsidRPr="00917A32">
        <w:rPr>
          <w:rFonts w:ascii="Arial" w:eastAsia="Calibri" w:hAnsi="Arial" w:cs="Arial"/>
          <w:sz w:val="24"/>
          <w:szCs w:val="24"/>
          <w:lang w:val="en-US"/>
        </w:rPr>
        <w:t xml:space="preserve">. 13. § a </w:t>
      </w:r>
      <w:proofErr w:type="spellStart"/>
      <w:r w:rsidRPr="00917A32">
        <w:rPr>
          <w:rFonts w:ascii="Arial" w:eastAsia="Calibri" w:hAnsi="Arial" w:cs="Arial"/>
          <w:sz w:val="24"/>
          <w:szCs w:val="24"/>
          <w:lang w:val="en-US"/>
        </w:rPr>
        <w:t>következő</w:t>
      </w:r>
      <w:proofErr w:type="spellEnd"/>
      <w:r w:rsidRPr="00917A32">
        <w:rPr>
          <w:rFonts w:ascii="Arial" w:eastAsia="Calibri" w:hAnsi="Arial" w:cs="Arial"/>
          <w:sz w:val="24"/>
          <w:szCs w:val="24"/>
          <w:lang w:val="en-US"/>
        </w:rPr>
        <w:t xml:space="preserve"> c) </w:t>
      </w:r>
      <w:proofErr w:type="spellStart"/>
      <w:r w:rsidRPr="00917A32">
        <w:rPr>
          <w:rFonts w:ascii="Arial" w:eastAsia="Calibri" w:hAnsi="Arial" w:cs="Arial"/>
          <w:sz w:val="24"/>
          <w:szCs w:val="24"/>
          <w:lang w:val="en-US"/>
        </w:rPr>
        <w:t>ponttal</w:t>
      </w:r>
      <w:proofErr w:type="spellEnd"/>
      <w:r w:rsidRPr="00917A3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17A32">
        <w:rPr>
          <w:rFonts w:ascii="Arial" w:eastAsia="Calibri" w:hAnsi="Arial" w:cs="Arial"/>
          <w:sz w:val="24"/>
          <w:szCs w:val="24"/>
          <w:lang w:val="en-US"/>
        </w:rPr>
        <w:t>egészül</w:t>
      </w:r>
      <w:proofErr w:type="spellEnd"/>
      <w:r w:rsidRPr="00917A3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17A32">
        <w:rPr>
          <w:rFonts w:ascii="Arial" w:eastAsia="Calibri" w:hAnsi="Arial" w:cs="Arial"/>
          <w:sz w:val="24"/>
          <w:szCs w:val="24"/>
          <w:lang w:val="en-US"/>
        </w:rPr>
        <w:t>ki</w:t>
      </w:r>
      <w:proofErr w:type="spellEnd"/>
      <w:r w:rsidRPr="00917A32">
        <w:rPr>
          <w:rFonts w:ascii="Arial" w:eastAsia="Calibri" w:hAnsi="Arial" w:cs="Arial"/>
          <w:sz w:val="24"/>
          <w:szCs w:val="24"/>
          <w:lang w:val="en-US"/>
        </w:rPr>
        <w:t>:</w:t>
      </w:r>
    </w:p>
    <w:p w:rsidR="00917A32" w:rsidRPr="00917A32" w:rsidRDefault="00917A32" w:rsidP="00917A32">
      <w:pPr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917A32">
        <w:rPr>
          <w:rFonts w:ascii="Arial" w:eastAsia="Calibri" w:hAnsi="Arial" w:cs="Arial"/>
          <w:sz w:val="24"/>
          <w:szCs w:val="24"/>
          <w:lang w:val="en-US"/>
        </w:rPr>
        <w:t>Mentes</w:t>
      </w:r>
      <w:proofErr w:type="spellEnd"/>
      <w:r w:rsidRPr="00917A3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17A32">
        <w:rPr>
          <w:rFonts w:ascii="Arial" w:eastAsia="Calibri" w:hAnsi="Arial" w:cs="Arial"/>
          <w:sz w:val="24"/>
          <w:szCs w:val="24"/>
          <w:lang w:val="en-US"/>
        </w:rPr>
        <w:t>az</w:t>
      </w:r>
      <w:proofErr w:type="spellEnd"/>
      <w:r w:rsidRPr="00917A3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17A32">
        <w:rPr>
          <w:rFonts w:ascii="Arial" w:eastAsia="Calibri" w:hAnsi="Arial" w:cs="Arial"/>
          <w:sz w:val="24"/>
          <w:szCs w:val="24"/>
          <w:lang w:val="en-US"/>
        </w:rPr>
        <w:t>adó</w:t>
      </w:r>
      <w:proofErr w:type="spellEnd"/>
      <w:r w:rsidRPr="00917A3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17A32">
        <w:rPr>
          <w:rFonts w:ascii="Arial" w:eastAsia="Calibri" w:hAnsi="Arial" w:cs="Arial"/>
          <w:sz w:val="24"/>
          <w:szCs w:val="24"/>
          <w:lang w:val="en-US"/>
        </w:rPr>
        <w:t>alól</w:t>
      </w:r>
      <w:proofErr w:type="spellEnd"/>
      <w:r w:rsidRPr="00917A32">
        <w:rPr>
          <w:rFonts w:ascii="Arial" w:eastAsia="Calibri" w:hAnsi="Arial" w:cs="Arial"/>
          <w:sz w:val="24"/>
          <w:szCs w:val="24"/>
          <w:lang w:val="en-US"/>
        </w:rPr>
        <w:t>:</w:t>
      </w:r>
    </w:p>
    <w:p w:rsidR="00917A32" w:rsidRPr="00917A32" w:rsidRDefault="00917A32" w:rsidP="00917A32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17A32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c) </w:t>
      </w:r>
      <w:r w:rsidRPr="00917A3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 atomenergiáról szóló törvény szerint kizárólag</w:t>
      </w:r>
    </w:p>
    <w:p w:rsidR="00917A32" w:rsidRPr="00917A32" w:rsidRDefault="00917A32" w:rsidP="00917A32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917A32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ca</w:t>
      </w:r>
      <w:proofErr w:type="spellEnd"/>
      <w:r w:rsidRPr="00917A32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) </w:t>
      </w:r>
      <w:r w:rsidRPr="00917A3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radioaktív hulladék elhelyezésére,</w:t>
      </w:r>
    </w:p>
    <w:p w:rsidR="00917A32" w:rsidRPr="00917A32" w:rsidRDefault="00917A32" w:rsidP="00917A32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917A32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cb</w:t>
      </w:r>
      <w:proofErr w:type="spellEnd"/>
      <w:r w:rsidRPr="00917A32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) </w:t>
      </w:r>
      <w:r w:rsidRPr="00917A3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kiégett nukleáris üzemanyag tárolására</w:t>
      </w:r>
    </w:p>
    <w:p w:rsidR="00917A32" w:rsidRPr="00917A32" w:rsidRDefault="00917A32" w:rsidP="00917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 w:rsidRPr="00917A3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használt</w:t>
      </w:r>
      <w:proofErr w:type="gramEnd"/>
      <w:r w:rsidRPr="00917A3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építmény,</w:t>
      </w:r>
    </w:p>
    <w:p w:rsidR="00917A32" w:rsidRPr="00917A32" w:rsidRDefault="00917A32" w:rsidP="00917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917A32" w:rsidRPr="00917A32" w:rsidRDefault="00917A32" w:rsidP="00917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r w:rsidRPr="00917A32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 xml:space="preserve">Telekadó </w:t>
      </w:r>
      <w:proofErr w:type="gramStart"/>
      <w:r w:rsidRPr="00917A32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mentesség   a</w:t>
      </w:r>
      <w:proofErr w:type="gramEnd"/>
      <w:r w:rsidRPr="00917A32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Pr="00917A32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Htv</w:t>
      </w:r>
      <w:proofErr w:type="spellEnd"/>
      <w:r w:rsidRPr="00917A32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. 19. § b) pontja a helyébe a következő rendelkezés lép:</w:t>
      </w:r>
    </w:p>
    <w:p w:rsidR="00917A32" w:rsidRPr="00917A32" w:rsidRDefault="00917A32" w:rsidP="00917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917A32" w:rsidRPr="00917A32" w:rsidRDefault="00917A32" w:rsidP="00917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17A3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Mentes az adó alól: </w:t>
      </w:r>
    </w:p>
    <w:p w:rsidR="00917A32" w:rsidRPr="00917A32" w:rsidRDefault="00917A32" w:rsidP="00917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917A32" w:rsidRPr="00917A32" w:rsidRDefault="00917A32" w:rsidP="00917A32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r w:rsidRPr="00917A3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b) </w:t>
      </w:r>
      <w:r w:rsidRPr="00917A32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a mezőgazdasági művelés alatt álló belterületi telek,</w:t>
      </w:r>
    </w:p>
    <w:p w:rsidR="00917A32" w:rsidRPr="00917A32" w:rsidRDefault="00917A32" w:rsidP="00917A32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</w:p>
    <w:p w:rsidR="00917A32" w:rsidRPr="00917A32" w:rsidRDefault="00917A32" w:rsidP="00917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917A3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Htv</w:t>
      </w:r>
      <w:proofErr w:type="spellEnd"/>
      <w:r w:rsidRPr="00917A3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 52. § 15. </w:t>
      </w:r>
      <w:r w:rsidRPr="00917A32"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eastAsia="hu-HU"/>
        </w:rPr>
        <w:t>mezőgazdasági művelés alatt álló belterületi telek:</w:t>
      </w:r>
      <w:r w:rsidRPr="00917A32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 </w:t>
      </w:r>
      <w:r w:rsidRPr="00917A3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 az ingatlan,</w:t>
      </w:r>
    </w:p>
    <w:p w:rsidR="00917A32" w:rsidRPr="00917A32" w:rsidRDefault="00917A32" w:rsidP="00917A32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 w:rsidRPr="00917A32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a</w:t>
      </w:r>
      <w:proofErr w:type="gramEnd"/>
      <w:r w:rsidRPr="00917A32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) </w:t>
      </w:r>
      <w:r w:rsidRPr="00917A3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amely az ingatlan-nyilvántartásban, 1 hektárt meg nem haladó nagyságú, művelés alól kivett területként szerepel, és</w:t>
      </w:r>
    </w:p>
    <w:p w:rsidR="00917A32" w:rsidRPr="00917A32" w:rsidRDefault="00917A32" w:rsidP="00917A32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17A32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b) </w:t>
      </w:r>
      <w:r w:rsidRPr="00917A3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amelynek a teljes területét - a közüzemi szolgáltató által létesített, nem kizárólag a földterület közüzemi ellátását szolgáló vagy a növénytermesztést szolgáló műtárgy (pl. fúrt/ásott kút, üvegház, fóliasátor, szőlőkordon) által lefedett terület kivételével - az adóalany a naptári év egészében szántó, szőlő, kert vagy gyümölcsös művelési ágnak megfelelően műveli, és</w:t>
      </w:r>
    </w:p>
    <w:p w:rsidR="00917A32" w:rsidRPr="00917A32" w:rsidRDefault="00917A32" w:rsidP="00917A32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17A32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c) </w:t>
      </w:r>
      <w:r w:rsidRPr="00917A3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amelyre nézve a </w:t>
      </w:r>
      <w:r w:rsidRPr="00917A32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b) </w:t>
      </w:r>
      <w:r w:rsidRPr="00917A3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pont szerinti feltétel teljesülését a telek fekvése szerint illetékes mezőgazdasági igazgatási szerv az adóalany naptári év június 9. és szeptember 30. között benyújtott kérelmére indult eljárás keretében megtartott helyszíni szemle alapján kiadott okirattal igazolja, és</w:t>
      </w:r>
    </w:p>
    <w:p w:rsidR="00917A32" w:rsidRPr="00917A32" w:rsidRDefault="00917A32" w:rsidP="00917A32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 w:rsidRPr="00917A32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d) </w:t>
      </w:r>
      <w:r w:rsidRPr="00917A3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amellyel határos területen létesített ivóvízvezetékre, szennyvízcsatorna-vezetékre és villamosenergia-vezetékre való csatlakozásra nincs lehetőség, vagy amelynek az adóalany - a mezőgazdasági, agrár-vidékfejlesztési, valamint halászati támogatásokhoz és egyéb intézkedésekhez kapcsolódó eljárás egyes kérdéseiről szóló törvény szerinti - jogszerű földhasználója és azt a tárgyévben az 1306/2013/EU európai parlamenti és tanácsi rendelet 72. cikk (1) bekezdése alapján, a 640/2014/EU felhatalmazáson alapuló bizottsági rendelet 11. cikke szerint benyújtott támogatási kérelmében kérelmezett, vagy ne</w:t>
      </w:r>
      <w:proofErr w:type="gramEnd"/>
      <w:r w:rsidRPr="00917A3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m </w:t>
      </w:r>
      <w:proofErr w:type="gramStart"/>
      <w:r w:rsidRPr="00917A3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kérelmezett</w:t>
      </w:r>
      <w:proofErr w:type="gramEnd"/>
      <w:r w:rsidRPr="00917A3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mezőgazdasági területként jelöli meg</w:t>
      </w:r>
    </w:p>
    <w:p w:rsidR="00917A32" w:rsidRPr="00917A32" w:rsidRDefault="00917A32" w:rsidP="00917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917A32" w:rsidRPr="00917A32" w:rsidRDefault="00917A32" w:rsidP="00917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</w:p>
    <w:p w:rsidR="00917A32" w:rsidRPr="00917A32" w:rsidRDefault="00917A32" w:rsidP="00917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r w:rsidRPr="00917A32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Idegenforgalmi adó mentesség</w:t>
      </w:r>
    </w:p>
    <w:p w:rsidR="00917A32" w:rsidRPr="00917A32" w:rsidRDefault="00917A32" w:rsidP="00917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</w:p>
    <w:p w:rsidR="00917A32" w:rsidRPr="00917A32" w:rsidRDefault="00917A32" w:rsidP="00917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917A32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Htv</w:t>
      </w:r>
      <w:proofErr w:type="spellEnd"/>
      <w:r w:rsidRPr="00917A32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. 31. § f) </w:t>
      </w:r>
      <w:r w:rsidRPr="00917A3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honvédelmi vagy rendvédelmi feladatokat ellátó szervek állományába tartozó személy hozzátartozója, ha a vendégéjszakát az állomány tagjának látogatása </w:t>
      </w:r>
      <w:r w:rsidRPr="00917A32">
        <w:rPr>
          <w:rFonts w:ascii="Arial" w:eastAsia="Times New Roman" w:hAnsi="Arial" w:cs="Arial"/>
          <w:color w:val="222222"/>
          <w:sz w:val="24"/>
          <w:szCs w:val="24"/>
          <w:lang w:eastAsia="hu-HU"/>
        </w:rPr>
        <w:lastRenderedPageBreak/>
        <w:t>miatt tölti a szolgálatteljesítés vagy a munkavégzés helye szerinti településen lévő, a honvédelmi vagy rendvédelmi szerv rendelkezése alatt álló, szolgálati érdekből fenntartott szálláshelyen, feltéve, ha a településen való szolgálatteljesítés, munkavégzés időtartama legalább egybefüggő 30 nap.</w:t>
      </w:r>
    </w:p>
    <w:p w:rsidR="00917A32" w:rsidRPr="00917A32" w:rsidRDefault="00917A32" w:rsidP="00917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</w:p>
    <w:p w:rsidR="00917A32" w:rsidRPr="00917A32" w:rsidRDefault="00917A32" w:rsidP="00917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r w:rsidRPr="00917A32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Az Állami adóhatósághoz benyújtható iparűzési adóbevallás</w:t>
      </w:r>
    </w:p>
    <w:p w:rsidR="00917A32" w:rsidRPr="00917A32" w:rsidRDefault="00917A32" w:rsidP="00917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917A32" w:rsidRPr="00917A32" w:rsidRDefault="00917A32" w:rsidP="00917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917A32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Htv</w:t>
      </w:r>
      <w:proofErr w:type="spellEnd"/>
      <w:r w:rsidRPr="00917A32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. 42/D. § </w:t>
      </w:r>
      <w:r w:rsidRPr="00917A3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(1) Az adózó az állandó jellegű helyi iparűzési adóról szóló adóbevallási kötelezettségét - ideértve az adóbevallás kijavítását és az önellenőrzéssel való helyesbítést - a PM rendelet szerinti bevallási nyomtatványon az állami adóhatósághoz elektronikus úton, az állami adóhatóság hatáskörébe tartozó adókról szóló bevallások benyújtására vonatkozó rendelkezések értelemszerű alkalmazásával, az általános nyomtatványkitöltő program használatával is teljesítheti.</w:t>
      </w:r>
    </w:p>
    <w:p w:rsidR="00917A32" w:rsidRPr="00917A32" w:rsidRDefault="00917A32" w:rsidP="00917A32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17A3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(2) Az állami adóhatóság a hozzá beérkezett, (1) bekezdés szerinti adóbevallást - az adóbevallás-benyújtásra kötelezett azonosítását követően, tartalmi vizsgálat nélkül, a befogadó nyugta kiadása mellett - az adóalany által a bevallási nyomtatványon megjelölt székhely, </w:t>
      </w:r>
      <w:proofErr w:type="gramStart"/>
      <w:r w:rsidRPr="00917A3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telephely(</w:t>
      </w:r>
      <w:proofErr w:type="spellStart"/>
      <w:proofErr w:type="gramEnd"/>
      <w:r w:rsidRPr="00917A3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ek</w:t>
      </w:r>
      <w:proofErr w:type="spellEnd"/>
      <w:r w:rsidRPr="00917A3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) szerinti önkormányzati adóhatóság részére haladéktalanul, elektronikus úton megküldi.</w:t>
      </w:r>
    </w:p>
    <w:p w:rsidR="00917A32" w:rsidRPr="00917A32" w:rsidRDefault="00917A32" w:rsidP="00917A32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17A3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(3) Az állami adóhatósághoz határidőben benyújtott adóbevallást az önkormányzati adóhatóságnál teljesítettnek kell tekinteni.</w:t>
      </w:r>
    </w:p>
    <w:p w:rsidR="00917A32" w:rsidRPr="00917A32" w:rsidRDefault="00917A32" w:rsidP="00917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917A32" w:rsidRPr="00917A32" w:rsidRDefault="00917A32" w:rsidP="00917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</w:p>
    <w:p w:rsidR="00917A32" w:rsidRPr="00917A32" w:rsidRDefault="00917A32" w:rsidP="00917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r w:rsidRPr="00917A32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Építményadó kötelezettség keletkezése</w:t>
      </w:r>
    </w:p>
    <w:p w:rsidR="00917A32" w:rsidRPr="00917A32" w:rsidRDefault="00917A32" w:rsidP="00917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</w:p>
    <w:p w:rsidR="00917A32" w:rsidRPr="00917A32" w:rsidRDefault="00917A32" w:rsidP="00917A32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917A32">
        <w:rPr>
          <w:rFonts w:ascii="Arial" w:eastAsia="Calibri" w:hAnsi="Arial" w:cs="Arial"/>
          <w:b/>
          <w:bCs/>
          <w:color w:val="222222"/>
          <w:sz w:val="24"/>
          <w:szCs w:val="24"/>
          <w:shd w:val="clear" w:color="auto" w:fill="FFFFFF"/>
        </w:rPr>
        <w:t>Htv</w:t>
      </w:r>
      <w:proofErr w:type="spellEnd"/>
      <w:r w:rsidRPr="00917A32">
        <w:rPr>
          <w:rFonts w:ascii="Arial" w:eastAsia="Calibri" w:hAnsi="Arial" w:cs="Arial"/>
          <w:b/>
          <w:bCs/>
          <w:color w:val="222222"/>
          <w:sz w:val="24"/>
          <w:szCs w:val="24"/>
          <w:shd w:val="clear" w:color="auto" w:fill="FFFFFF"/>
        </w:rPr>
        <w:t>. 14. §</w:t>
      </w:r>
      <w:r w:rsidRPr="00917A32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 (1)</w:t>
      </w:r>
      <w:hyperlink r:id="rId6" w:anchor="lbj51id49f" w:tooltip="Megállapította: 2008. évi LXXXI. törvény 58. §. Módosította: 2015. évi CLXXXVII. törvény 55. § 1., 2016. évi LXVI. törvény 92. § 2." w:history="1"/>
      <w:r w:rsidRPr="00917A32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 Az adókötelezettség a használatbavételi, illetőleg a fennmaradási engedély jogerőre emelkedését vagy a használatbavétel tudomásulvételét vagy az egyszerű bejelentéshez kötött épület felépítésének megtörténtéről szóló hatósági bizonyítvány kiadását követő év első napján keletkezik. Az engedély nélkül épült vagy </w:t>
      </w:r>
      <w:proofErr w:type="gramStart"/>
      <w:r w:rsidRPr="00917A32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anélkül</w:t>
      </w:r>
      <w:proofErr w:type="gramEnd"/>
      <w:r w:rsidRPr="00917A32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 használatba vett építmény esetén az adókötelezettség a tényleges használatbavételt követő év első napján keletkezik.</w:t>
      </w:r>
    </w:p>
    <w:p w:rsidR="00917A32" w:rsidRPr="00917A32" w:rsidRDefault="00917A32" w:rsidP="00917A32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</w:pPr>
    </w:p>
    <w:p w:rsidR="00917A32" w:rsidRPr="00917A32" w:rsidRDefault="00917A32" w:rsidP="00917A32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</w:pPr>
      <w:r w:rsidRPr="00917A32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>KATA adózás választása</w:t>
      </w:r>
    </w:p>
    <w:p w:rsidR="00917A32" w:rsidRPr="00917A32" w:rsidRDefault="00917A32" w:rsidP="00917A32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</w:p>
    <w:p w:rsidR="00917A32" w:rsidRPr="00917A32" w:rsidRDefault="00917A32" w:rsidP="00917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917A32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Htv</w:t>
      </w:r>
      <w:proofErr w:type="spellEnd"/>
      <w:r w:rsidRPr="00917A32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. 39/B. § (9) </w:t>
      </w:r>
      <w:proofErr w:type="gramStart"/>
      <w:r w:rsidRPr="00917A32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A</w:t>
      </w:r>
      <w:proofErr w:type="gramEnd"/>
      <w:r w:rsidRPr="00917A32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 (3) bekezdés szerinti adóalap-megállapítás választását a vállalkozó - az önkormányzati adóhatóság által rendszeresített - bejelentkezési, bejelentési, bevallási nyomtatványon, a kisadózó vállalkozások tételes adójának hatálya alá tartozás kezdő napjától számított 45 napon belül vagy február 15-ig jelenti be az önkormányzati adóhatóság számára. A vállalkozó e döntése a teljes adóévre vonatkozik és az adóév február 15-ig jelentheti be, hogy az adó alapját nem a (3) bekezdésben foglaltak szerint kívánja megállapítani. A bejelentkezési, bejelentési, bevallási nyomtatvány végrehajtható okiratnak minősül.</w:t>
      </w:r>
    </w:p>
    <w:p w:rsidR="00917A32" w:rsidRPr="00917A32" w:rsidRDefault="00917A32" w:rsidP="00917A32">
      <w:pPr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917A32" w:rsidRPr="00917A32" w:rsidRDefault="00917A32" w:rsidP="00917A32">
      <w:pPr>
        <w:keepNext/>
        <w:shd w:val="clear" w:color="auto" w:fill="FFFFFF"/>
        <w:spacing w:before="240" w:after="60"/>
        <w:outlineLvl w:val="3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vertAlign w:val="superscript"/>
        </w:rPr>
      </w:pPr>
      <w:r w:rsidRPr="00917A32">
        <w:rPr>
          <w:rFonts w:ascii="Arial" w:eastAsia="Times New Roman" w:hAnsi="Arial" w:cs="Arial"/>
          <w:b/>
          <w:bCs/>
          <w:color w:val="222222"/>
          <w:sz w:val="24"/>
          <w:szCs w:val="24"/>
        </w:rPr>
        <w:t>A foglalkoztatás növeléséhez kapcsolódó adóalap-mentesség</w:t>
      </w:r>
    </w:p>
    <w:p w:rsidR="00917A32" w:rsidRPr="00917A32" w:rsidRDefault="00917A32" w:rsidP="00917A32">
      <w:pPr>
        <w:rPr>
          <w:rFonts w:ascii="Arial" w:eastAsia="Calibri" w:hAnsi="Arial" w:cs="Arial"/>
          <w:sz w:val="24"/>
          <w:szCs w:val="24"/>
        </w:rPr>
      </w:pPr>
    </w:p>
    <w:p w:rsidR="00917A32" w:rsidRPr="00917A32" w:rsidRDefault="00917A32" w:rsidP="00917A32">
      <w:pPr>
        <w:shd w:val="clear" w:color="auto" w:fill="FFFFFF"/>
        <w:jc w:val="both"/>
        <w:rPr>
          <w:rFonts w:ascii="Arial" w:eastAsia="Calibri" w:hAnsi="Arial" w:cs="Arial"/>
          <w:color w:val="222222"/>
          <w:sz w:val="24"/>
          <w:szCs w:val="24"/>
        </w:rPr>
      </w:pPr>
      <w:proofErr w:type="spellStart"/>
      <w:r w:rsidRPr="00917A32">
        <w:rPr>
          <w:rFonts w:ascii="Arial" w:eastAsia="Calibri" w:hAnsi="Arial" w:cs="Arial"/>
          <w:b/>
          <w:bCs/>
          <w:color w:val="222222"/>
          <w:sz w:val="24"/>
          <w:szCs w:val="24"/>
        </w:rPr>
        <w:t>Htv</w:t>
      </w:r>
      <w:proofErr w:type="spellEnd"/>
      <w:r w:rsidRPr="00917A32">
        <w:rPr>
          <w:rFonts w:ascii="Arial" w:eastAsia="Calibri" w:hAnsi="Arial" w:cs="Arial"/>
          <w:b/>
          <w:bCs/>
          <w:color w:val="222222"/>
          <w:sz w:val="24"/>
          <w:szCs w:val="24"/>
        </w:rPr>
        <w:t>. 39/D. §</w:t>
      </w:r>
      <w:r w:rsidRPr="00917A32">
        <w:rPr>
          <w:rFonts w:ascii="Arial" w:eastAsia="Calibri" w:hAnsi="Arial" w:cs="Arial"/>
          <w:color w:val="222222"/>
          <w:sz w:val="24"/>
          <w:szCs w:val="24"/>
        </w:rPr>
        <w:t xml:space="preserve"> (1) Az állandó jellegű iparűzési tevékenység utáni adóalap csökkenthető az adóévi működés hónapjai alapján számított adóévi átlagos statisztikai állományi létszámnak az előző adóévi működés hónapjai alapján az előző adóévre számított </w:t>
      </w:r>
      <w:r w:rsidRPr="00917A32">
        <w:rPr>
          <w:rFonts w:ascii="Arial" w:eastAsia="Calibri" w:hAnsi="Arial" w:cs="Arial"/>
          <w:color w:val="222222"/>
          <w:sz w:val="24"/>
          <w:szCs w:val="24"/>
        </w:rPr>
        <w:lastRenderedPageBreak/>
        <w:t>átlagos statisztikai állományi létszámhoz képest bekövetkezett - főben kifejezett - növekménye után 1 millió forint/fő összeggel.</w:t>
      </w:r>
    </w:p>
    <w:p w:rsidR="00917A32" w:rsidRPr="00917A32" w:rsidRDefault="00917A32" w:rsidP="00917A32">
      <w:pPr>
        <w:shd w:val="clear" w:color="auto" w:fill="FFFFFF"/>
        <w:jc w:val="both"/>
        <w:rPr>
          <w:rFonts w:ascii="Arial" w:eastAsia="Calibri" w:hAnsi="Arial" w:cs="Arial"/>
          <w:b/>
          <w:color w:val="222222"/>
          <w:sz w:val="24"/>
          <w:szCs w:val="24"/>
        </w:rPr>
      </w:pPr>
      <w:r w:rsidRPr="00917A32">
        <w:rPr>
          <w:rFonts w:ascii="Arial" w:eastAsia="Calibri" w:hAnsi="Arial" w:cs="Arial"/>
          <w:b/>
          <w:color w:val="222222"/>
          <w:sz w:val="24"/>
          <w:szCs w:val="24"/>
        </w:rPr>
        <w:t>Széljegyzés</w:t>
      </w:r>
    </w:p>
    <w:p w:rsidR="00917A32" w:rsidRPr="00917A32" w:rsidRDefault="00917A32" w:rsidP="00917A32">
      <w:pPr>
        <w:shd w:val="clear" w:color="auto" w:fill="FFFFFF"/>
        <w:jc w:val="both"/>
        <w:rPr>
          <w:rFonts w:ascii="Arial" w:eastAsia="Calibri" w:hAnsi="Arial" w:cs="Arial"/>
          <w:color w:val="222222"/>
          <w:sz w:val="24"/>
          <w:szCs w:val="24"/>
        </w:rPr>
      </w:pPr>
      <w:proofErr w:type="spellStart"/>
      <w:r w:rsidRPr="00917A32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Htv</w:t>
      </w:r>
      <w:proofErr w:type="spellEnd"/>
      <w:r w:rsidRPr="00917A32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. 52.§ 7. </w:t>
      </w:r>
      <w:r w:rsidRPr="00917A32">
        <w:rPr>
          <w:rFonts w:ascii="Arial" w:eastAsia="Calibri" w:hAnsi="Arial" w:cs="Arial"/>
          <w:i/>
          <w:iCs/>
          <w:color w:val="222222"/>
          <w:sz w:val="24"/>
          <w:szCs w:val="24"/>
          <w:shd w:val="clear" w:color="auto" w:fill="FFFFFF"/>
        </w:rPr>
        <w:t>tulajdonos: </w:t>
      </w:r>
      <w:r w:rsidRPr="00917A32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az ingatlan tulajdonosa az a személy vagy szervezet, aki/amely az ingatlan-nyilvántartásban tulajdonosként szerepel. Amennyiben az ingatlan tulajdonjogának átruházására irányuló szerződést az ingatlanügyi hatósághoz benyújtották - melynek tényét az ingatlanügyi hatóság </w:t>
      </w:r>
      <w:proofErr w:type="spellStart"/>
      <w:r w:rsidRPr="00917A32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széljegyezte</w:t>
      </w:r>
      <w:proofErr w:type="spellEnd"/>
      <w:r w:rsidRPr="00917A32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 -, a szerző felet kell tulajdonosnak tekinteni, feltéve, ha az ingatlanügyi hatóság tulajdonosként bejegyezte. Újonnan létrehozott építmény tulajdonjogának - a használatbavételi engedély jogerőre emelkedését megelőző - átruházása esetén a szerződés ingatlanügyi hatósághoz történő benyújtását követően a szerző felet a használatbavételi engedély jogerőre emelkedésének időpontjától kell tulajdonosnak tekinteni. Egyéb módon történő tulajdonszerzés esetére a Polgári Törvénykönyv vonatkozó szabályai az irányadók;</w:t>
      </w:r>
    </w:p>
    <w:p w:rsidR="00917A32" w:rsidRPr="00917A32" w:rsidRDefault="00917A32" w:rsidP="00917A32">
      <w:pPr>
        <w:shd w:val="clear" w:color="auto" w:fill="FFFFFF"/>
        <w:jc w:val="both"/>
        <w:rPr>
          <w:rFonts w:ascii="Arial" w:eastAsia="Calibri" w:hAnsi="Arial" w:cs="Arial"/>
          <w:b/>
          <w:color w:val="222222"/>
          <w:sz w:val="24"/>
          <w:szCs w:val="24"/>
        </w:rPr>
      </w:pPr>
      <w:r w:rsidRPr="00917A32">
        <w:rPr>
          <w:rFonts w:ascii="Arial" w:eastAsia="Calibri" w:hAnsi="Arial" w:cs="Arial"/>
          <w:b/>
          <w:color w:val="222222"/>
          <w:sz w:val="24"/>
          <w:szCs w:val="24"/>
        </w:rPr>
        <w:t>Telek fogalmába nem értendő:</w:t>
      </w:r>
    </w:p>
    <w:p w:rsidR="00917A32" w:rsidRPr="00917A32" w:rsidRDefault="00917A32" w:rsidP="00917A32">
      <w:pPr>
        <w:shd w:val="clear" w:color="auto" w:fill="FFFFFF"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917A32">
        <w:rPr>
          <w:rFonts w:ascii="Arial" w:eastAsia="Calibri" w:hAnsi="Arial" w:cs="Arial"/>
          <w:i/>
          <w:iCs/>
          <w:color w:val="222222"/>
          <w:sz w:val="24"/>
          <w:szCs w:val="24"/>
          <w:shd w:val="clear" w:color="auto" w:fill="FFFFFF"/>
        </w:rPr>
        <w:t>Htv</w:t>
      </w:r>
      <w:proofErr w:type="spellEnd"/>
      <w:r w:rsidRPr="00917A32">
        <w:rPr>
          <w:rFonts w:ascii="Arial" w:eastAsia="Calibri" w:hAnsi="Arial" w:cs="Arial"/>
          <w:i/>
          <w:iCs/>
          <w:color w:val="222222"/>
          <w:sz w:val="24"/>
          <w:szCs w:val="24"/>
          <w:shd w:val="clear" w:color="auto" w:fill="FFFFFF"/>
        </w:rPr>
        <w:t>. 52. 16. pont g) </w:t>
      </w:r>
      <w:r w:rsidRPr="00917A32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a halgazdálkodásról és a hal védelméről szóló törvény szerinti víztározó, bányató </w:t>
      </w:r>
    </w:p>
    <w:p w:rsidR="00917A32" w:rsidRPr="00917A32" w:rsidRDefault="00917A32" w:rsidP="00917A32">
      <w:pPr>
        <w:shd w:val="clear" w:color="auto" w:fill="FFFFFF"/>
        <w:jc w:val="both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917A32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területe</w:t>
      </w:r>
      <w:proofErr w:type="gramEnd"/>
    </w:p>
    <w:p w:rsidR="0021724F" w:rsidRPr="00917A32" w:rsidRDefault="0021724F">
      <w:pPr>
        <w:rPr>
          <w:rFonts w:ascii="Arial" w:hAnsi="Arial" w:cs="Arial"/>
          <w:sz w:val="24"/>
          <w:szCs w:val="24"/>
        </w:rPr>
      </w:pPr>
    </w:p>
    <w:sectPr w:rsidR="0021724F" w:rsidRPr="00917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32"/>
    <w:rsid w:val="0021724F"/>
    <w:rsid w:val="0091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AC8D"/>
  <w15:chartTrackingRefBased/>
  <w15:docId w15:val="{04B67A94-7A90-4813-8CC7-E0C2EE0C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99000100.TV&amp;timeshift=20170101" TargetMode="External"/><Relationship Id="rId5" Type="http://schemas.openxmlformats.org/officeDocument/2006/relationships/hyperlink" Target="http://net.jogtar.hu/jr/gen/hjegy_doc.cgi?docid=99000100.TV" TargetMode="External"/><Relationship Id="rId4" Type="http://schemas.openxmlformats.org/officeDocument/2006/relationships/hyperlink" Target="http://net.jogtar.hu/jr/gen/hjegy_doc.cgi?docid=99000100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1175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István</dc:creator>
  <cp:keywords/>
  <dc:description/>
  <cp:lastModifiedBy>Papp István</cp:lastModifiedBy>
  <cp:revision>1</cp:revision>
  <dcterms:created xsi:type="dcterms:W3CDTF">2016-11-08T12:29:00Z</dcterms:created>
  <dcterms:modified xsi:type="dcterms:W3CDTF">2016-11-08T12:33:00Z</dcterms:modified>
</cp:coreProperties>
</file>